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8476F9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4095750" cy="2790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ural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5" t="18885" r="17308" b="15275"/>
                          <a:stretch/>
                        </pic:blipFill>
                        <pic:spPr bwMode="auto">
                          <a:xfrm>
                            <a:off x="0" y="0"/>
                            <a:ext cx="4111610" cy="2801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8476F9" w:rsidP="005C61E4">
            <w:pPr>
              <w:pStyle w:val="Date"/>
            </w:pPr>
            <w:r>
              <w:t>Going rural health (GRH)</w:t>
            </w:r>
          </w:p>
          <w:p w:rsidR="005C61E4" w:rsidRPr="008476F9" w:rsidRDefault="008476F9" w:rsidP="005C61E4">
            <w:pPr>
              <w:pStyle w:val="Title"/>
              <w:rPr>
                <w:sz w:val="40"/>
                <w:szCs w:val="40"/>
              </w:rPr>
            </w:pPr>
            <w:r w:rsidRPr="008476F9">
              <w:rPr>
                <w:sz w:val="40"/>
                <w:szCs w:val="40"/>
              </w:rPr>
              <w:t xml:space="preserve">rural </w:t>
            </w:r>
            <w:r w:rsidR="000042A4">
              <w:rPr>
                <w:sz w:val="40"/>
                <w:szCs w:val="40"/>
              </w:rPr>
              <w:t>Pharmacy st</w:t>
            </w:r>
            <w:r w:rsidR="00CB12D1">
              <w:rPr>
                <w:sz w:val="40"/>
                <w:szCs w:val="40"/>
              </w:rPr>
              <w:t>u</w:t>
            </w:r>
            <w:r w:rsidR="000042A4">
              <w:rPr>
                <w:sz w:val="40"/>
                <w:szCs w:val="40"/>
              </w:rPr>
              <w:t xml:space="preserve">dent </w:t>
            </w:r>
            <w:r w:rsidRPr="008476F9">
              <w:rPr>
                <w:sz w:val="40"/>
                <w:szCs w:val="40"/>
              </w:rPr>
              <w:t>placement support</w:t>
            </w:r>
          </w:p>
          <w:p w:rsidR="002C3966" w:rsidRPr="002C3966" w:rsidRDefault="002C3966" w:rsidP="005C61E4">
            <w:pPr>
              <w:spacing w:after="160" w:line="312" w:lineRule="auto"/>
              <w:rPr>
                <w:sz w:val="16"/>
                <w:szCs w:val="16"/>
              </w:rPr>
            </w:pPr>
          </w:p>
          <w:p w:rsidR="005C61E4" w:rsidRPr="002C3966" w:rsidRDefault="002C3966" w:rsidP="002C3966">
            <w:pPr>
              <w:spacing w:after="160" w:line="312" w:lineRule="auto"/>
              <w:jc w:val="both"/>
              <w:rPr>
                <w:sz w:val="22"/>
                <w:szCs w:val="22"/>
              </w:rPr>
            </w:pPr>
            <w:r w:rsidRPr="002C3966">
              <w:rPr>
                <w:sz w:val="22"/>
                <w:szCs w:val="22"/>
              </w:rPr>
              <w:t xml:space="preserve">Going Rural Health (GRH) is a Commonwealth funded program that supports </w:t>
            </w:r>
            <w:r w:rsidR="000042A4">
              <w:rPr>
                <w:sz w:val="22"/>
                <w:szCs w:val="22"/>
              </w:rPr>
              <w:t>pharmacy</w:t>
            </w:r>
            <w:r w:rsidRPr="002C3966">
              <w:rPr>
                <w:sz w:val="22"/>
                <w:szCs w:val="22"/>
              </w:rPr>
              <w:t xml:space="preserve"> students, from any university, to complete rural clinical placements</w:t>
            </w:r>
            <w:r w:rsidR="000042A4">
              <w:rPr>
                <w:sz w:val="22"/>
                <w:szCs w:val="22"/>
              </w:rPr>
              <w:t xml:space="preserve"> in northern and central-west Victoria</w:t>
            </w:r>
            <w:r w:rsidRPr="002C3966">
              <w:rPr>
                <w:sz w:val="22"/>
                <w:szCs w:val="22"/>
              </w:rPr>
              <w:t>.</w:t>
            </w:r>
          </w:p>
          <w:p w:rsidR="002C3966" w:rsidRPr="002C3966" w:rsidRDefault="002C3966" w:rsidP="002C3966">
            <w:pPr>
              <w:spacing w:after="160" w:line="312" w:lineRule="auto"/>
              <w:jc w:val="both"/>
              <w:rPr>
                <w:sz w:val="22"/>
                <w:szCs w:val="22"/>
              </w:rPr>
            </w:pPr>
            <w:r w:rsidRPr="00CB12D1">
              <w:rPr>
                <w:sz w:val="22"/>
                <w:szCs w:val="22"/>
              </w:rPr>
              <w:t>Support includes</w:t>
            </w:r>
            <w:r w:rsidRPr="00CB12D1">
              <w:rPr>
                <w:b/>
                <w:sz w:val="22"/>
                <w:szCs w:val="22"/>
              </w:rPr>
              <w:t xml:space="preserve"> financial assistance</w:t>
            </w:r>
            <w:r w:rsidRPr="002C3966">
              <w:rPr>
                <w:sz w:val="22"/>
                <w:szCs w:val="22"/>
              </w:rPr>
              <w:t xml:space="preserve"> (eligibility criteria applies), </w:t>
            </w:r>
            <w:r w:rsidR="00FD6AE8" w:rsidRPr="00CB12D1">
              <w:rPr>
                <w:b/>
                <w:sz w:val="22"/>
                <w:szCs w:val="22"/>
              </w:rPr>
              <w:t>subsidis</w:t>
            </w:r>
            <w:r w:rsidRPr="00CB12D1">
              <w:rPr>
                <w:b/>
                <w:sz w:val="22"/>
                <w:szCs w:val="22"/>
              </w:rPr>
              <w:t>ed accommodation</w:t>
            </w:r>
            <w:r w:rsidRPr="002C3966">
              <w:rPr>
                <w:sz w:val="22"/>
                <w:szCs w:val="22"/>
              </w:rPr>
              <w:t xml:space="preserve"> (subject to availability), </w:t>
            </w:r>
            <w:r w:rsidRPr="00CB12D1">
              <w:rPr>
                <w:sz w:val="22"/>
                <w:szCs w:val="22"/>
              </w:rPr>
              <w:t>education</w:t>
            </w:r>
            <w:r w:rsidRPr="00CB12D1">
              <w:rPr>
                <w:b/>
                <w:sz w:val="22"/>
                <w:szCs w:val="22"/>
              </w:rPr>
              <w:t xml:space="preserve"> </w:t>
            </w:r>
            <w:r w:rsidRPr="002C3966">
              <w:rPr>
                <w:sz w:val="22"/>
                <w:szCs w:val="22"/>
              </w:rPr>
              <w:t xml:space="preserve">(online, virtual &amp; face to face), cultural training, mentoring, placement matching, placement creation, supervision, and local area information. GRH also survey students </w:t>
            </w:r>
            <w:r w:rsidR="00FD6AE8">
              <w:rPr>
                <w:sz w:val="22"/>
                <w:szCs w:val="22"/>
              </w:rPr>
              <w:t>who complete</w:t>
            </w:r>
            <w:r w:rsidRPr="002C3966">
              <w:rPr>
                <w:sz w:val="22"/>
                <w:szCs w:val="22"/>
              </w:rPr>
              <w:t xml:space="preserve"> rural placements, and </w:t>
            </w:r>
            <w:r w:rsidR="00FD6AE8">
              <w:rPr>
                <w:sz w:val="22"/>
                <w:szCs w:val="22"/>
              </w:rPr>
              <w:t>utilis</w:t>
            </w:r>
            <w:r w:rsidRPr="002C3966">
              <w:rPr>
                <w:sz w:val="22"/>
                <w:szCs w:val="22"/>
              </w:rPr>
              <w:t xml:space="preserve">e this information to report to government, </w:t>
            </w:r>
            <w:r w:rsidR="00FD6AE8">
              <w:rPr>
                <w:sz w:val="22"/>
                <w:szCs w:val="22"/>
              </w:rPr>
              <w:t>health services and placement providers, and</w:t>
            </w:r>
            <w:r w:rsidRPr="002C3966">
              <w:rPr>
                <w:sz w:val="22"/>
                <w:szCs w:val="22"/>
              </w:rPr>
              <w:t xml:space="preserve"> universities.</w:t>
            </w:r>
          </w:p>
          <w:p w:rsidR="002C3966" w:rsidRPr="002C3966" w:rsidRDefault="002C3966" w:rsidP="002C3966">
            <w:pPr>
              <w:spacing w:after="160" w:line="312" w:lineRule="auto"/>
              <w:jc w:val="both"/>
              <w:rPr>
                <w:sz w:val="22"/>
                <w:szCs w:val="22"/>
              </w:rPr>
            </w:pPr>
            <w:r w:rsidRPr="002C3966">
              <w:rPr>
                <w:sz w:val="22"/>
                <w:szCs w:val="22"/>
              </w:rPr>
              <w:t>GRH offices are located in Ballarat, Shepparton &amp; Wangaratta, covering the Central Goldfields, Grampians, Hume, Goulburn &amp; Ovens-Murray regions.</w:t>
            </w:r>
          </w:p>
          <w:p w:rsidR="002C3966" w:rsidRPr="00FD6AE8" w:rsidRDefault="002C3966" w:rsidP="002C3966">
            <w:pPr>
              <w:spacing w:after="160" w:line="312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FD6AE8">
              <w:rPr>
                <w:sz w:val="20"/>
                <w:szCs w:val="20"/>
              </w:rPr>
              <w:t xml:space="preserve">For more information visit the website or contact your local GRH representative.  </w:t>
            </w:r>
            <w:r w:rsidRPr="00FD6AE8">
              <w:rPr>
                <w:noProof/>
                <w:sz w:val="20"/>
                <w:szCs w:val="20"/>
                <w:lang w:eastAsia="en-US"/>
              </w:rPr>
              <w:t xml:space="preserve">                                     </w:t>
            </w:r>
          </w:p>
          <w:p w:rsidR="00880783" w:rsidRPr="00AA4794" w:rsidRDefault="0060121A" w:rsidP="0060121A">
            <w:pPr>
              <w:spacing w:after="160" w:line="312" w:lineRule="auto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B3A161" wp14:editId="1D42A8EF">
                  <wp:extent cx="1517650" cy="681394"/>
                  <wp:effectExtent l="0" t="0" r="6350" b="4445"/>
                  <wp:docPr id="9" name="Picture 9" descr="C:\Users\tthorpe\AppData\Local\Microsoft\Windows\INetCacheContent.Word\GRonly-FOOTER-cr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thorpe\AppData\Local\Microsoft\Windows\INetCacheContent.Word\GRonly-FOOTER-cr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13" cy="72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04E">
              <w:rPr>
                <w:noProof/>
                <w:lang w:eastAsia="en-US"/>
              </w:rPr>
              <w:t xml:space="preserve">                </w:t>
            </w:r>
          </w:p>
        </w:tc>
        <w:tc>
          <w:tcPr>
            <w:tcW w:w="3420" w:type="dxa"/>
          </w:tcPr>
          <w:p w:rsidR="005C61E4" w:rsidRDefault="00D65617" w:rsidP="005C61E4">
            <w:pPr>
              <w:pStyle w:val="Heading2"/>
              <w:outlineLvl w:val="1"/>
            </w:pPr>
            <w:r>
              <w:t>GRH</w:t>
            </w:r>
            <w:r w:rsidR="00AF60D0">
              <w:t xml:space="preserve"> Website</w:t>
            </w:r>
          </w:p>
          <w:p w:rsidR="00AF60D0" w:rsidRPr="00AA4794" w:rsidRDefault="00AF60D0" w:rsidP="005C61E4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41350" cy="6413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h website q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431C1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C67685BAC614E6095399A78DCC818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D65617" w:rsidP="005C61E4">
            <w:pPr>
              <w:pStyle w:val="Heading2"/>
              <w:outlineLvl w:val="1"/>
            </w:pPr>
            <w:r>
              <w:t>GRH Financial Support</w:t>
            </w:r>
          </w:p>
          <w:p w:rsidR="00D65617" w:rsidRPr="00AA4794" w:rsidRDefault="00D65617" w:rsidP="005C61E4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84200" cy="5842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H SSS qr code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431C1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63B5D09919AC4BE28BEF3576906BF3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D65617" w:rsidP="005C61E4">
            <w:pPr>
              <w:pStyle w:val="Heading2"/>
              <w:outlineLvl w:val="1"/>
            </w:pPr>
            <w:r>
              <w:t>GRH Online Education</w:t>
            </w:r>
          </w:p>
          <w:p w:rsidR="00D65617" w:rsidRPr="00AA4794" w:rsidRDefault="00D65617" w:rsidP="005C61E4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0550" cy="590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H online ed qr code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431C1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70E2F16540E447BAA696BA312E85AC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8476F9" w:rsidP="005C61E4">
            <w:pPr>
              <w:pStyle w:val="Heading2"/>
              <w:outlineLvl w:val="1"/>
            </w:pPr>
            <w:r>
              <w:t>GRH Student Placement Survey</w:t>
            </w:r>
          </w:p>
          <w:p w:rsidR="008476F9" w:rsidRPr="00AA4794" w:rsidRDefault="008476F9" w:rsidP="005C61E4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596900" cy="596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H student pl survey qr code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8476F9" w:rsidP="005C61E4">
            <w:pPr>
              <w:pStyle w:val="Heading3"/>
              <w:outlineLvl w:val="2"/>
            </w:pPr>
            <w:r>
              <w:t xml:space="preserve">Going rural health </w:t>
            </w:r>
          </w:p>
          <w:p w:rsidR="005C61E4" w:rsidRPr="008476F9" w:rsidRDefault="00431C1C" w:rsidP="008476F9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1A0112ADB89B453E9208AE87A858B686"/>
                </w:placeholder>
                <w15:appearance w15:val="hidden"/>
                <w:text w:multiLine="1"/>
              </w:sdtPr>
              <w:sdtEndPr/>
              <w:sdtContent>
                <w:r w:rsidR="009507FB">
                  <w:rPr>
                    <w:sz w:val="22"/>
                    <w:szCs w:val="22"/>
                  </w:rPr>
                  <w:t>Rural Pharmacy Liaison Officer  Mitchell Dunn mitchell.dunn</w:t>
                </w:r>
                <w:r w:rsidR="008476F9" w:rsidRPr="008476F9">
                  <w:rPr>
                    <w:sz w:val="22"/>
                    <w:szCs w:val="22"/>
                  </w:rPr>
                  <w:t>@unimelb.edu.au</w:t>
                </w:r>
              </w:sdtContent>
            </w:sdt>
          </w:p>
          <w:p w:rsidR="005C61E4" w:rsidRPr="008476F9" w:rsidRDefault="008476F9" w:rsidP="00AA4794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r w:rsidRPr="008476F9">
              <w:rPr>
                <w:sz w:val="22"/>
                <w:szCs w:val="22"/>
              </w:rPr>
              <w:t>www.goingruralhealth.com.au</w:t>
            </w:r>
          </w:p>
          <w:p w:rsidR="005C61E4" w:rsidRPr="00AA4794" w:rsidRDefault="005C61E4" w:rsidP="008476F9">
            <w:pPr>
              <w:pStyle w:val="ContactInfo"/>
              <w:spacing w:line="312" w:lineRule="auto"/>
              <w:ind w:left="0"/>
              <w:jc w:val="left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AD" w:rsidRDefault="00F465AD" w:rsidP="005F5D5F">
      <w:pPr>
        <w:spacing w:after="0" w:line="240" w:lineRule="auto"/>
      </w:pPr>
      <w:r>
        <w:separator/>
      </w:r>
    </w:p>
  </w:endnote>
  <w:endnote w:type="continuationSeparator" w:id="0">
    <w:p w:rsidR="00F465AD" w:rsidRDefault="00F465A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AD" w:rsidRDefault="00F465AD" w:rsidP="005F5D5F">
      <w:pPr>
        <w:spacing w:after="0" w:line="240" w:lineRule="auto"/>
      </w:pPr>
      <w:r>
        <w:separator/>
      </w:r>
    </w:p>
  </w:footnote>
  <w:footnote w:type="continuationSeparator" w:id="0">
    <w:p w:rsidR="00F465AD" w:rsidRDefault="00F465A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EA"/>
    <w:rsid w:val="000042A4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2C3966"/>
    <w:rsid w:val="00324EAB"/>
    <w:rsid w:val="003B6A17"/>
    <w:rsid w:val="00403C37"/>
    <w:rsid w:val="00411532"/>
    <w:rsid w:val="00431C1C"/>
    <w:rsid w:val="005222EE"/>
    <w:rsid w:val="00541BB3"/>
    <w:rsid w:val="00544732"/>
    <w:rsid w:val="005558EA"/>
    <w:rsid w:val="005C61E4"/>
    <w:rsid w:val="005F5D5F"/>
    <w:rsid w:val="0060121A"/>
    <w:rsid w:val="00665EA1"/>
    <w:rsid w:val="006E5B0F"/>
    <w:rsid w:val="0079199F"/>
    <w:rsid w:val="007B5354"/>
    <w:rsid w:val="00837654"/>
    <w:rsid w:val="008476F9"/>
    <w:rsid w:val="00867196"/>
    <w:rsid w:val="00880783"/>
    <w:rsid w:val="008B5772"/>
    <w:rsid w:val="008C031F"/>
    <w:rsid w:val="008C1756"/>
    <w:rsid w:val="008D17FF"/>
    <w:rsid w:val="008F6C52"/>
    <w:rsid w:val="009141C6"/>
    <w:rsid w:val="009507FB"/>
    <w:rsid w:val="00A03450"/>
    <w:rsid w:val="00A97C88"/>
    <w:rsid w:val="00AA4794"/>
    <w:rsid w:val="00AB304E"/>
    <w:rsid w:val="00AB3068"/>
    <w:rsid w:val="00AB58F4"/>
    <w:rsid w:val="00AF32DC"/>
    <w:rsid w:val="00AF60D0"/>
    <w:rsid w:val="00B46A60"/>
    <w:rsid w:val="00BC6ED1"/>
    <w:rsid w:val="00C57F20"/>
    <w:rsid w:val="00CB12D1"/>
    <w:rsid w:val="00D16845"/>
    <w:rsid w:val="00D56FBE"/>
    <w:rsid w:val="00D65617"/>
    <w:rsid w:val="00D751DD"/>
    <w:rsid w:val="00E3564F"/>
    <w:rsid w:val="00EC1838"/>
    <w:rsid w:val="00F2548A"/>
    <w:rsid w:val="00F465AD"/>
    <w:rsid w:val="00FA21D4"/>
    <w:rsid w:val="00FB2003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AF90D7-0073-445B-8B87-4996104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7406D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04E6C" w:themeColor="accent2" w:themeShade="80"/>
        <w:left w:val="single" w:sz="2" w:space="12" w:color="004E6C" w:themeColor="accent2" w:themeShade="80"/>
        <w:bottom w:val="single" w:sz="2" w:space="31" w:color="004E6C" w:themeColor="accent2" w:themeShade="80"/>
        <w:right w:val="single" w:sz="2" w:space="12" w:color="004E6C" w:themeColor="accent2" w:themeShade="80"/>
      </w:pBdr>
      <w:shd w:val="clear" w:color="auto" w:fill="004E6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0B5294" w:themeColor="accent1" w:themeShade="BF"/>
        <w:left w:val="single" w:sz="2" w:space="12" w:color="0B5294" w:themeColor="accent1" w:themeShade="BF"/>
        <w:bottom w:val="single" w:sz="2" w:space="16" w:color="0B5294" w:themeColor="accent1" w:themeShade="BF"/>
        <w:right w:val="single" w:sz="2" w:space="12" w:color="0B5294" w:themeColor="accent1" w:themeShade="BF"/>
      </w:pBdr>
      <w:shd w:val="clear" w:color="auto" w:fill="0B5294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04E6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0B5294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0B5294" w:themeColor="accent1" w:themeShade="BF"/>
        <w:left w:val="single" w:sz="2" w:space="12" w:color="0B5294" w:themeColor="accent1" w:themeShade="BF"/>
        <w:bottom w:val="single" w:sz="2" w:space="16" w:color="0B5294" w:themeColor="accent1" w:themeShade="BF"/>
        <w:right w:val="single" w:sz="2" w:space="12" w:color="0B5294" w:themeColor="accent1" w:themeShade="BF"/>
      </w:pBdr>
      <w:shd w:val="clear" w:color="auto" w:fill="0B5294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0F6FC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0F6FC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73763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7376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5DFD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54642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73763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B529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horp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67685BAC614E6095399A78DCC8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470F-8AF9-4205-8417-ED86C8851F64}"/>
      </w:docPartPr>
      <w:docPartBody>
        <w:p w:rsidR="00E62AAE" w:rsidRDefault="00E62AAE">
          <w:pPr>
            <w:pStyle w:val="1C67685BAC614E6095399A78DCC81819"/>
          </w:pPr>
          <w:r w:rsidRPr="00AA4794">
            <w:t>────</w:t>
          </w:r>
        </w:p>
      </w:docPartBody>
    </w:docPart>
    <w:docPart>
      <w:docPartPr>
        <w:name w:val="63B5D09919AC4BE28BEF3576906B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0D7D-0741-4780-80C5-989399B5B7A8}"/>
      </w:docPartPr>
      <w:docPartBody>
        <w:p w:rsidR="00E62AAE" w:rsidRDefault="00E62AAE">
          <w:pPr>
            <w:pStyle w:val="63B5D09919AC4BE28BEF3576906BF331"/>
          </w:pPr>
          <w:r w:rsidRPr="00AA4794">
            <w:t>────</w:t>
          </w:r>
        </w:p>
      </w:docPartBody>
    </w:docPart>
    <w:docPart>
      <w:docPartPr>
        <w:name w:val="70E2F16540E447BAA696BA312E85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22D3-9394-4111-94AE-99E91D08A744}"/>
      </w:docPartPr>
      <w:docPartBody>
        <w:p w:rsidR="00E62AAE" w:rsidRDefault="00E62AAE">
          <w:pPr>
            <w:pStyle w:val="70E2F16540E447BAA696BA312E85AC89"/>
          </w:pPr>
          <w:r w:rsidRPr="00AA4794">
            <w:t>────</w:t>
          </w:r>
        </w:p>
      </w:docPartBody>
    </w:docPart>
    <w:docPart>
      <w:docPartPr>
        <w:name w:val="1A0112ADB89B453E9208AE87A858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CA1C-237F-4CCF-B581-30D2AA41176E}"/>
      </w:docPartPr>
      <w:docPartBody>
        <w:p w:rsidR="00E62AAE" w:rsidRDefault="00E62AAE">
          <w:pPr>
            <w:pStyle w:val="1A0112ADB89B453E9208AE87A858B686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AE"/>
    <w:rsid w:val="00043D3A"/>
    <w:rsid w:val="006C092B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E54AEE041F47EDBFF5290974D0AD7B">
    <w:name w:val="A5E54AEE041F47EDBFF5290974D0AD7B"/>
  </w:style>
  <w:style w:type="paragraph" w:customStyle="1" w:styleId="77FCB2CCE51A41369869CFCB9C1EF483">
    <w:name w:val="77FCB2CCE51A41369869CFCB9C1EF483"/>
  </w:style>
  <w:style w:type="paragraph" w:customStyle="1" w:styleId="8A1C4BB6F4CD477BAAF97080A17D377A">
    <w:name w:val="8A1C4BB6F4CD477BAAF97080A17D377A"/>
  </w:style>
  <w:style w:type="paragraph" w:customStyle="1" w:styleId="170FEB0D7A1E46E38BBC64E37C024B0E">
    <w:name w:val="170FEB0D7A1E46E38BBC64E37C024B0E"/>
  </w:style>
  <w:style w:type="paragraph" w:customStyle="1" w:styleId="4D625BDCECB4439AA2C6D47FBE3381AE">
    <w:name w:val="4D625BDCECB4439AA2C6D47FBE3381AE"/>
  </w:style>
  <w:style w:type="paragraph" w:customStyle="1" w:styleId="1C67685BAC614E6095399A78DCC81819">
    <w:name w:val="1C67685BAC614E6095399A78DCC81819"/>
  </w:style>
  <w:style w:type="paragraph" w:customStyle="1" w:styleId="D34A6708E5C04A4D94F0E51E83CAA424">
    <w:name w:val="D34A6708E5C04A4D94F0E51E83CAA424"/>
  </w:style>
  <w:style w:type="paragraph" w:customStyle="1" w:styleId="63B5D09919AC4BE28BEF3576906BF331">
    <w:name w:val="63B5D09919AC4BE28BEF3576906BF331"/>
  </w:style>
  <w:style w:type="paragraph" w:customStyle="1" w:styleId="918ED5881DCA40FD97BCA0D99E23EEF1">
    <w:name w:val="918ED5881DCA40FD97BCA0D99E23EEF1"/>
  </w:style>
  <w:style w:type="paragraph" w:customStyle="1" w:styleId="70E2F16540E447BAA696BA312E85AC89">
    <w:name w:val="70E2F16540E447BAA696BA312E85AC89"/>
  </w:style>
  <w:style w:type="paragraph" w:customStyle="1" w:styleId="1C6E3322C9B2403FB6487C8AA0A159F2">
    <w:name w:val="1C6E3322C9B2403FB6487C8AA0A159F2"/>
  </w:style>
  <w:style w:type="paragraph" w:customStyle="1" w:styleId="CB0B42F6181446E1B171CE73DA4D4AC4">
    <w:name w:val="CB0B42F6181446E1B171CE73DA4D4AC4"/>
  </w:style>
  <w:style w:type="paragraph" w:customStyle="1" w:styleId="AFA3B865A7AF4F118D6179464C653035">
    <w:name w:val="AFA3B865A7AF4F118D6179464C653035"/>
  </w:style>
  <w:style w:type="paragraph" w:customStyle="1" w:styleId="832BF4615ED447C686AF9D14D7B87952">
    <w:name w:val="832BF4615ED447C686AF9D14D7B87952"/>
  </w:style>
  <w:style w:type="paragraph" w:customStyle="1" w:styleId="1A0112ADB89B453E9208AE87A858B686">
    <w:name w:val="1A0112ADB89B453E9208AE87A858B686"/>
  </w:style>
  <w:style w:type="paragraph" w:customStyle="1" w:styleId="CBCD5A63629B46BE88FD6D2EF5F2F27A">
    <w:name w:val="CBCD5A63629B46BE88FD6D2EF5F2F27A"/>
  </w:style>
  <w:style w:type="paragraph" w:customStyle="1" w:styleId="5305EDED89384787A7EAB67A91CCB071">
    <w:name w:val="5305EDED89384787A7EAB67A91CCB071"/>
  </w:style>
  <w:style w:type="paragraph" w:customStyle="1" w:styleId="299653A4336E48A591E7B58B3F6A6C31">
    <w:name w:val="299653A4336E48A591E7B58B3F6A6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Thorpe</dc:creator>
  <cp:keywords/>
  <dc:description/>
  <cp:lastModifiedBy>Trish Thorpe</cp:lastModifiedBy>
  <cp:revision>2</cp:revision>
  <dcterms:created xsi:type="dcterms:W3CDTF">2021-03-15T04:41:00Z</dcterms:created>
  <dcterms:modified xsi:type="dcterms:W3CDTF">2021-03-15T04:41:00Z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